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7E" w:rsidRDefault="00636848">
      <w:pPr>
        <w:pStyle w:val="Title"/>
        <w:spacing w:line="237" w:lineRule="auto"/>
      </w:pPr>
      <w:r>
        <w:rPr>
          <w:color w:val="1980D3"/>
        </w:rPr>
        <w:t>Dietary</w:t>
      </w:r>
      <w:r w:rsidR="0075779D">
        <w:rPr>
          <w:color w:val="1980D3"/>
        </w:rPr>
        <w:t xml:space="preserve"> information for people taking mono</w:t>
      </w:r>
      <w:r>
        <w:rPr>
          <w:color w:val="1980D3"/>
        </w:rPr>
        <w:t>amine oxidase inhibitors (MAOIs)</w:t>
      </w:r>
    </w:p>
    <w:p w:rsidR="002F477E" w:rsidRDefault="00636848">
      <w:pPr>
        <w:pStyle w:val="BodyText"/>
        <w:spacing w:before="212" w:line="247" w:lineRule="auto"/>
        <w:ind w:right="188"/>
        <w:rPr>
          <w:color w:val="3C3C3B"/>
        </w:rPr>
      </w:pPr>
      <w:r>
        <w:rPr>
          <w:color w:val="3C3C3B"/>
        </w:rPr>
        <w:t>MAOIs (monoamine oxidase inhibitors) act by blocking the enzyme that breaks down a group of chemicals in the body called monoamines. Tyramine is a monoamine and is found in many foods. MAOIs stop tyramine from being broken down; therefore, levels build up in the body and can cause a hypertensive crisis – a severe increase in blood pressure.</w:t>
      </w:r>
      <w:r w:rsidR="00D56A99">
        <w:rPr>
          <w:color w:val="3C3C3B"/>
        </w:rPr>
        <w:t xml:space="preserve"> Symptoms include: headache, pounding of the heart, </w:t>
      </w:r>
      <w:r w:rsidR="00156A89">
        <w:rPr>
          <w:color w:val="3C3C3B"/>
        </w:rPr>
        <w:t xml:space="preserve">light-headedness, </w:t>
      </w:r>
      <w:r w:rsidR="00D56A99">
        <w:rPr>
          <w:color w:val="3C3C3B"/>
        </w:rPr>
        <w:t xml:space="preserve">dizziness, flushing of the face, numbness or tingling hands or feet, pain or stiffness in the neck, </w:t>
      </w:r>
      <w:r w:rsidR="00156A89">
        <w:rPr>
          <w:color w:val="3C3C3B"/>
        </w:rPr>
        <w:t>nausea or vomit</w:t>
      </w:r>
      <w:bookmarkStart w:id="0" w:name="_GoBack"/>
      <w:bookmarkEnd w:id="0"/>
      <w:r w:rsidR="00156A89">
        <w:rPr>
          <w:color w:val="3C3C3B"/>
        </w:rPr>
        <w:t>ing.</w:t>
      </w:r>
      <w:r w:rsidR="00D56A99">
        <w:rPr>
          <w:color w:val="3C3C3B"/>
        </w:rPr>
        <w:t xml:space="preserve"> If any of these occur, seek medical treatment.</w:t>
      </w:r>
    </w:p>
    <w:p w:rsidR="002F477E" w:rsidRDefault="00636848">
      <w:pPr>
        <w:pStyle w:val="BodyText"/>
        <w:spacing w:before="229" w:line="247" w:lineRule="auto"/>
        <w:ind w:right="174"/>
      </w:pPr>
      <w:r>
        <w:rPr>
          <w:color w:val="3C3C3B"/>
        </w:rPr>
        <w:t xml:space="preserve">Over the past few years, research has been carried out that shows that the diet for individuals prescribed MAOIs, do not need to be as restrictive as previously thought in the 1960s. </w:t>
      </w:r>
      <w:r>
        <w:rPr>
          <w:color w:val="3C3C3B"/>
          <w:spacing w:val="-3"/>
        </w:rPr>
        <w:t xml:space="preserve">Modern </w:t>
      </w:r>
      <w:r>
        <w:rPr>
          <w:color w:val="3C3C3B"/>
        </w:rPr>
        <w:t>food hygiene, and handling practices and regulations in developed countries mean that excess tyramine levels are unheard of in fresh foods.</w:t>
      </w:r>
    </w:p>
    <w:p w:rsidR="002F477E" w:rsidRDefault="00636848">
      <w:pPr>
        <w:pStyle w:val="BodyText"/>
        <w:spacing w:before="230" w:line="247" w:lineRule="auto"/>
      </w:pPr>
      <w:r>
        <w:rPr>
          <w:color w:val="3C3C3B"/>
        </w:rPr>
        <w:t>The tyramine content of food varies with maturity, length of storage, and individual tolerance levels may vary. Because of this, it is difficult to provide a clear diet list that will fit to all individuals.</w:t>
      </w:r>
    </w:p>
    <w:p w:rsidR="002F477E" w:rsidRDefault="00636848">
      <w:pPr>
        <w:pStyle w:val="BodyText"/>
      </w:pPr>
      <w:r>
        <w:rPr>
          <w:color w:val="3C3C3B"/>
        </w:rPr>
        <w:t>The MAOI drugs that might cause an issue are:</w:t>
      </w:r>
    </w:p>
    <w:p w:rsidR="002F477E" w:rsidRDefault="00636848">
      <w:pPr>
        <w:pStyle w:val="ListParagraph"/>
        <w:numPr>
          <w:ilvl w:val="0"/>
          <w:numId w:val="1"/>
        </w:numPr>
        <w:tabs>
          <w:tab w:val="left" w:pos="460"/>
          <w:tab w:val="left" w:pos="461"/>
        </w:tabs>
        <w:spacing w:before="217"/>
        <w:ind w:hanging="361"/>
        <w:rPr>
          <w:sz w:val="24"/>
        </w:rPr>
      </w:pPr>
      <w:proofErr w:type="spellStart"/>
      <w:r>
        <w:rPr>
          <w:color w:val="3C3C3B"/>
          <w:sz w:val="24"/>
        </w:rPr>
        <w:t>Phenelzine</w:t>
      </w:r>
      <w:proofErr w:type="spellEnd"/>
      <w:r>
        <w:rPr>
          <w:color w:val="3C3C3B"/>
          <w:sz w:val="24"/>
        </w:rPr>
        <w:t xml:space="preserve"> (</w:t>
      </w:r>
      <w:proofErr w:type="spellStart"/>
      <w:r>
        <w:rPr>
          <w:color w:val="3C3C3B"/>
          <w:sz w:val="24"/>
        </w:rPr>
        <w:t>Nardil</w:t>
      </w:r>
      <w:proofErr w:type="spellEnd"/>
      <w:r>
        <w:rPr>
          <w:color w:val="3C3C3B"/>
          <w:sz w:val="24"/>
        </w:rPr>
        <w:t>)</w:t>
      </w:r>
    </w:p>
    <w:p w:rsidR="002F477E" w:rsidRDefault="00636848">
      <w:pPr>
        <w:pStyle w:val="ListParagraph"/>
        <w:numPr>
          <w:ilvl w:val="0"/>
          <w:numId w:val="1"/>
        </w:numPr>
        <w:tabs>
          <w:tab w:val="left" w:pos="460"/>
          <w:tab w:val="left" w:pos="461"/>
        </w:tabs>
        <w:ind w:hanging="361"/>
        <w:rPr>
          <w:sz w:val="24"/>
        </w:rPr>
      </w:pPr>
      <w:r>
        <w:rPr>
          <w:color w:val="3C3C3B"/>
          <w:sz w:val="24"/>
        </w:rPr>
        <w:t>Tranylcypromine</w:t>
      </w:r>
      <w:r>
        <w:rPr>
          <w:color w:val="3C3C3B"/>
          <w:spacing w:val="-1"/>
          <w:sz w:val="24"/>
        </w:rPr>
        <w:t xml:space="preserve"> </w:t>
      </w:r>
      <w:r>
        <w:rPr>
          <w:color w:val="3C3C3B"/>
          <w:sz w:val="24"/>
        </w:rPr>
        <w:t>(</w:t>
      </w:r>
      <w:proofErr w:type="spellStart"/>
      <w:r>
        <w:rPr>
          <w:color w:val="3C3C3B"/>
          <w:sz w:val="24"/>
        </w:rPr>
        <w:t>Parnate</w:t>
      </w:r>
      <w:proofErr w:type="spellEnd"/>
      <w:r>
        <w:rPr>
          <w:color w:val="3C3C3B"/>
          <w:sz w:val="24"/>
        </w:rPr>
        <w:t>)</w:t>
      </w:r>
    </w:p>
    <w:p w:rsidR="002F477E" w:rsidRDefault="00636848">
      <w:pPr>
        <w:pStyle w:val="ListParagraph"/>
        <w:numPr>
          <w:ilvl w:val="0"/>
          <w:numId w:val="1"/>
        </w:numPr>
        <w:tabs>
          <w:tab w:val="left" w:pos="460"/>
          <w:tab w:val="left" w:pos="461"/>
        </w:tabs>
        <w:spacing w:before="103"/>
        <w:ind w:hanging="361"/>
        <w:rPr>
          <w:sz w:val="24"/>
        </w:rPr>
      </w:pPr>
      <w:proofErr w:type="spellStart"/>
      <w:r>
        <w:rPr>
          <w:color w:val="3C3C3B"/>
          <w:sz w:val="24"/>
        </w:rPr>
        <w:t>Isocarboxazid</w:t>
      </w:r>
      <w:proofErr w:type="spellEnd"/>
    </w:p>
    <w:p w:rsidR="002F477E" w:rsidRDefault="002F477E">
      <w:pPr>
        <w:pStyle w:val="BodyText"/>
        <w:spacing w:before="0"/>
        <w:ind w:left="0"/>
        <w:rPr>
          <w:sz w:val="11"/>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36"/>
        <w:gridCol w:w="2636"/>
        <w:gridCol w:w="2636"/>
        <w:gridCol w:w="2636"/>
      </w:tblGrid>
      <w:tr w:rsidR="002F477E">
        <w:trPr>
          <w:trHeight w:val="320"/>
        </w:trPr>
        <w:tc>
          <w:tcPr>
            <w:tcW w:w="2636" w:type="dxa"/>
            <w:shd w:val="clear" w:color="auto" w:fill="0072CE"/>
          </w:tcPr>
          <w:p w:rsidR="002F477E" w:rsidRDefault="00636848">
            <w:pPr>
              <w:pStyle w:val="TableParagraph"/>
              <w:spacing w:line="281" w:lineRule="exact"/>
              <w:rPr>
                <w:sz w:val="24"/>
              </w:rPr>
            </w:pPr>
            <w:r>
              <w:rPr>
                <w:color w:val="FFFFFF"/>
                <w:sz w:val="24"/>
              </w:rPr>
              <w:t>Food group</w:t>
            </w:r>
          </w:p>
        </w:tc>
        <w:tc>
          <w:tcPr>
            <w:tcW w:w="2636" w:type="dxa"/>
            <w:shd w:val="clear" w:color="auto" w:fill="0072CE"/>
          </w:tcPr>
          <w:p w:rsidR="002F477E" w:rsidRDefault="00636848">
            <w:pPr>
              <w:pStyle w:val="TableParagraph"/>
              <w:spacing w:line="281" w:lineRule="exact"/>
              <w:rPr>
                <w:sz w:val="24"/>
              </w:rPr>
            </w:pPr>
            <w:r>
              <w:rPr>
                <w:color w:val="FFFFFF"/>
                <w:sz w:val="24"/>
              </w:rPr>
              <w:t>Permitted</w:t>
            </w:r>
          </w:p>
        </w:tc>
        <w:tc>
          <w:tcPr>
            <w:tcW w:w="2636" w:type="dxa"/>
            <w:shd w:val="clear" w:color="auto" w:fill="0072CE"/>
          </w:tcPr>
          <w:p w:rsidR="002F477E" w:rsidRDefault="00636848">
            <w:pPr>
              <w:pStyle w:val="TableParagraph"/>
              <w:spacing w:line="281" w:lineRule="exact"/>
              <w:rPr>
                <w:color w:val="FFFFFF"/>
                <w:sz w:val="24"/>
              </w:rPr>
            </w:pPr>
            <w:r>
              <w:rPr>
                <w:color w:val="FFFFFF"/>
                <w:sz w:val="24"/>
              </w:rPr>
              <w:t>In moderation</w:t>
            </w:r>
          </w:p>
          <w:p w:rsidR="00B05C41" w:rsidRDefault="00B05C41" w:rsidP="00B05C4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81"/>
            </w:tblGrid>
            <w:tr w:rsidR="00B05C41">
              <w:trPr>
                <w:trHeight w:val="229"/>
              </w:trPr>
              <w:tc>
                <w:tcPr>
                  <w:tcW w:w="2581" w:type="dxa"/>
                </w:tcPr>
                <w:p w:rsidR="00B05C41" w:rsidRPr="00B05C41" w:rsidRDefault="00B05C41">
                  <w:pPr>
                    <w:pStyle w:val="Default"/>
                    <w:rPr>
                      <w:sz w:val="16"/>
                      <w:szCs w:val="16"/>
                    </w:rPr>
                  </w:pPr>
                  <w:r w:rsidRPr="00B05C41">
                    <w:rPr>
                      <w:color w:val="FFFFFF" w:themeColor="background1"/>
                      <w:sz w:val="16"/>
                      <w:szCs w:val="16"/>
                    </w:rPr>
                    <w:t>(Recommended maximum portion)</w:t>
                  </w:r>
                  <w:r w:rsidRPr="00B05C41">
                    <w:rPr>
                      <w:sz w:val="16"/>
                      <w:szCs w:val="16"/>
                    </w:rPr>
                    <w:t xml:space="preserve"> </w:t>
                  </w:r>
                </w:p>
              </w:tc>
            </w:tr>
          </w:tbl>
          <w:p w:rsidR="00B05C41" w:rsidRDefault="00B05C41">
            <w:pPr>
              <w:pStyle w:val="TableParagraph"/>
              <w:spacing w:line="281" w:lineRule="exact"/>
              <w:rPr>
                <w:sz w:val="24"/>
              </w:rPr>
            </w:pPr>
          </w:p>
        </w:tc>
        <w:tc>
          <w:tcPr>
            <w:tcW w:w="2636" w:type="dxa"/>
            <w:shd w:val="clear" w:color="auto" w:fill="0072CE"/>
          </w:tcPr>
          <w:p w:rsidR="002F477E" w:rsidRDefault="00636848">
            <w:pPr>
              <w:pStyle w:val="TableParagraph"/>
              <w:spacing w:line="281" w:lineRule="exact"/>
              <w:rPr>
                <w:sz w:val="24"/>
              </w:rPr>
            </w:pPr>
            <w:r>
              <w:rPr>
                <w:color w:val="FFFFFF"/>
                <w:sz w:val="24"/>
              </w:rPr>
              <w:t>Avoid</w:t>
            </w:r>
          </w:p>
        </w:tc>
      </w:tr>
      <w:tr w:rsidR="002F477E">
        <w:trPr>
          <w:trHeight w:val="2420"/>
        </w:trPr>
        <w:tc>
          <w:tcPr>
            <w:tcW w:w="2636" w:type="dxa"/>
            <w:shd w:val="clear" w:color="auto" w:fill="CCE3F5"/>
          </w:tcPr>
          <w:p w:rsidR="002F477E" w:rsidRDefault="00636848">
            <w:pPr>
              <w:pStyle w:val="TableParagraph"/>
              <w:spacing w:line="247" w:lineRule="auto"/>
              <w:ind w:right="329"/>
              <w:rPr>
                <w:sz w:val="24"/>
              </w:rPr>
            </w:pPr>
            <w:r>
              <w:rPr>
                <w:color w:val="3C3C3B"/>
                <w:sz w:val="24"/>
              </w:rPr>
              <w:t>Dairy products, and dairy alternatives</w:t>
            </w:r>
          </w:p>
        </w:tc>
        <w:tc>
          <w:tcPr>
            <w:tcW w:w="2636" w:type="dxa"/>
          </w:tcPr>
          <w:p w:rsidR="002F477E" w:rsidRDefault="00636848">
            <w:pPr>
              <w:pStyle w:val="TableParagraph"/>
              <w:spacing w:before="10" w:line="300" w:lineRule="atLeast"/>
              <w:ind w:right="66"/>
              <w:rPr>
                <w:sz w:val="24"/>
              </w:rPr>
            </w:pPr>
            <w:r>
              <w:rPr>
                <w:color w:val="3C3C3B"/>
                <w:sz w:val="24"/>
              </w:rPr>
              <w:t xml:space="preserve">Cottage cheese, cream cheese, mascarpone, ricotta, </w:t>
            </w:r>
            <w:proofErr w:type="spellStart"/>
            <w:r>
              <w:rPr>
                <w:color w:val="3C3C3B"/>
                <w:sz w:val="24"/>
              </w:rPr>
              <w:t>babybel</w:t>
            </w:r>
            <w:proofErr w:type="spellEnd"/>
            <w:r>
              <w:rPr>
                <w:color w:val="3C3C3B"/>
                <w:sz w:val="24"/>
              </w:rPr>
              <w:t xml:space="preserve">, cheese </w:t>
            </w:r>
            <w:r>
              <w:rPr>
                <w:color w:val="3C3C3B"/>
                <w:spacing w:val="-3"/>
                <w:sz w:val="24"/>
              </w:rPr>
              <w:t xml:space="preserve">slices, </w:t>
            </w:r>
            <w:r>
              <w:rPr>
                <w:color w:val="3C3C3B"/>
                <w:sz w:val="24"/>
              </w:rPr>
              <w:t>yoghurt, pasteurised milk, butter and spreads, cream, sour cream</w:t>
            </w:r>
          </w:p>
        </w:tc>
        <w:tc>
          <w:tcPr>
            <w:tcW w:w="2636" w:type="dxa"/>
          </w:tcPr>
          <w:p w:rsidR="002F477E" w:rsidRDefault="00636848">
            <w:pPr>
              <w:pStyle w:val="TableParagraph"/>
              <w:spacing w:line="247" w:lineRule="auto"/>
              <w:ind w:right="635"/>
              <w:rPr>
                <w:sz w:val="24"/>
              </w:rPr>
            </w:pPr>
            <w:r>
              <w:rPr>
                <w:color w:val="3C3C3B"/>
                <w:sz w:val="24"/>
              </w:rPr>
              <w:t>Mozzarella (30g) Parmesan (30g)</w:t>
            </w:r>
          </w:p>
        </w:tc>
        <w:tc>
          <w:tcPr>
            <w:tcW w:w="2636" w:type="dxa"/>
          </w:tcPr>
          <w:p w:rsidR="002F477E" w:rsidRDefault="00636848">
            <w:pPr>
              <w:pStyle w:val="TableParagraph"/>
              <w:spacing w:line="247" w:lineRule="auto"/>
              <w:ind w:right="342"/>
              <w:rPr>
                <w:sz w:val="24"/>
              </w:rPr>
            </w:pPr>
            <w:r>
              <w:rPr>
                <w:color w:val="3C3C3B"/>
                <w:sz w:val="24"/>
              </w:rPr>
              <w:t>Aged cheeses, for example: cheddar, camembert, stilton, brie, blue cheese, gouda, feta, goats cheese</w:t>
            </w:r>
          </w:p>
          <w:p w:rsidR="002F477E" w:rsidRDefault="00636848">
            <w:pPr>
              <w:pStyle w:val="TableParagraph"/>
              <w:spacing w:before="231"/>
              <w:rPr>
                <w:sz w:val="24"/>
              </w:rPr>
            </w:pPr>
            <w:r>
              <w:rPr>
                <w:color w:val="3C3C3B"/>
                <w:sz w:val="24"/>
              </w:rPr>
              <w:t>Unpasteurised milk</w:t>
            </w:r>
          </w:p>
        </w:tc>
      </w:tr>
      <w:tr w:rsidR="002F477E">
        <w:trPr>
          <w:trHeight w:val="1220"/>
        </w:trPr>
        <w:tc>
          <w:tcPr>
            <w:tcW w:w="2636" w:type="dxa"/>
            <w:shd w:val="clear" w:color="auto" w:fill="CCE3F5"/>
          </w:tcPr>
          <w:p w:rsidR="002F477E" w:rsidRDefault="00636848">
            <w:pPr>
              <w:pStyle w:val="TableParagraph"/>
              <w:rPr>
                <w:sz w:val="24"/>
              </w:rPr>
            </w:pPr>
            <w:r>
              <w:rPr>
                <w:color w:val="3C3C3B"/>
                <w:sz w:val="24"/>
              </w:rPr>
              <w:t>Soy and soybean</w:t>
            </w:r>
          </w:p>
        </w:tc>
        <w:tc>
          <w:tcPr>
            <w:tcW w:w="2636" w:type="dxa"/>
          </w:tcPr>
          <w:p w:rsidR="002F477E" w:rsidRDefault="00636848">
            <w:pPr>
              <w:pStyle w:val="TableParagraph"/>
              <w:spacing w:line="247" w:lineRule="auto"/>
              <w:ind w:right="88"/>
              <w:rPr>
                <w:sz w:val="24"/>
              </w:rPr>
            </w:pPr>
            <w:r>
              <w:rPr>
                <w:color w:val="3C3C3B"/>
                <w:sz w:val="24"/>
              </w:rPr>
              <w:t>soya milk, soya yoghurts and desserts</w:t>
            </w:r>
          </w:p>
        </w:tc>
        <w:tc>
          <w:tcPr>
            <w:tcW w:w="2636" w:type="dxa"/>
          </w:tcPr>
          <w:p w:rsidR="002F477E" w:rsidRDefault="00636848">
            <w:pPr>
              <w:pStyle w:val="TableParagraph"/>
              <w:rPr>
                <w:sz w:val="24"/>
              </w:rPr>
            </w:pPr>
            <w:r>
              <w:rPr>
                <w:color w:val="3C3C3B"/>
                <w:sz w:val="24"/>
              </w:rPr>
              <w:t>Tofu (100g)</w:t>
            </w:r>
          </w:p>
        </w:tc>
        <w:tc>
          <w:tcPr>
            <w:tcW w:w="2636" w:type="dxa"/>
          </w:tcPr>
          <w:p w:rsidR="002F477E" w:rsidRDefault="00636848">
            <w:pPr>
              <w:pStyle w:val="TableParagraph"/>
              <w:spacing w:before="10" w:line="300" w:lineRule="atLeast"/>
              <w:ind w:right="141"/>
              <w:rPr>
                <w:color w:val="3C3C3B"/>
                <w:sz w:val="24"/>
              </w:rPr>
            </w:pPr>
            <w:r>
              <w:rPr>
                <w:color w:val="3C3C3B"/>
                <w:sz w:val="24"/>
              </w:rPr>
              <w:t>Soy sauce, all other fermented soya bean condiments, for example: miso</w:t>
            </w:r>
          </w:p>
          <w:p w:rsidR="00B05C41" w:rsidRDefault="00B05C41">
            <w:pPr>
              <w:pStyle w:val="TableParagraph"/>
              <w:spacing w:before="10" w:line="300" w:lineRule="atLeast"/>
              <w:ind w:right="141"/>
              <w:rPr>
                <w:color w:val="3C3C3B"/>
                <w:sz w:val="24"/>
              </w:rPr>
            </w:pPr>
          </w:p>
          <w:p w:rsidR="00636848" w:rsidRDefault="00636848">
            <w:pPr>
              <w:pStyle w:val="TableParagraph"/>
              <w:spacing w:before="10" w:line="300" w:lineRule="atLeast"/>
              <w:ind w:right="141"/>
              <w:rPr>
                <w:sz w:val="24"/>
              </w:rPr>
            </w:pPr>
            <w:r>
              <w:rPr>
                <w:color w:val="3C3C3B"/>
                <w:sz w:val="24"/>
              </w:rPr>
              <w:t>Textured vegetable protein</w:t>
            </w:r>
          </w:p>
        </w:tc>
      </w:tr>
      <w:tr w:rsidR="002F477E">
        <w:trPr>
          <w:trHeight w:val="2646"/>
        </w:trPr>
        <w:tc>
          <w:tcPr>
            <w:tcW w:w="2636" w:type="dxa"/>
            <w:shd w:val="clear" w:color="auto" w:fill="CCE3F5"/>
          </w:tcPr>
          <w:p w:rsidR="002F477E" w:rsidRDefault="00636848">
            <w:pPr>
              <w:pStyle w:val="TableParagraph"/>
              <w:rPr>
                <w:sz w:val="24"/>
              </w:rPr>
            </w:pPr>
            <w:r>
              <w:rPr>
                <w:color w:val="3C3C3B"/>
                <w:sz w:val="24"/>
              </w:rPr>
              <w:lastRenderedPageBreak/>
              <w:t>Meat, fish, and meat</w:t>
            </w:r>
          </w:p>
          <w:p w:rsidR="002F477E" w:rsidRDefault="00636848">
            <w:pPr>
              <w:pStyle w:val="TableParagraph"/>
              <w:spacing w:before="9"/>
              <w:rPr>
                <w:sz w:val="24"/>
              </w:rPr>
            </w:pPr>
            <w:r>
              <w:rPr>
                <w:color w:val="3C3C3B"/>
                <w:sz w:val="24"/>
              </w:rPr>
              <w:t>alternatives</w:t>
            </w:r>
          </w:p>
        </w:tc>
        <w:tc>
          <w:tcPr>
            <w:tcW w:w="2636" w:type="dxa"/>
          </w:tcPr>
          <w:p w:rsidR="002F477E" w:rsidRDefault="00636848">
            <w:pPr>
              <w:pStyle w:val="TableParagraph"/>
              <w:spacing w:line="247" w:lineRule="auto"/>
              <w:ind w:right="115"/>
              <w:rPr>
                <w:sz w:val="24"/>
              </w:rPr>
            </w:pPr>
            <w:r>
              <w:rPr>
                <w:color w:val="3C3C3B"/>
                <w:sz w:val="24"/>
              </w:rPr>
              <w:t>All fresh, frozen, tinned meat, fish and poultry</w:t>
            </w:r>
          </w:p>
        </w:tc>
        <w:tc>
          <w:tcPr>
            <w:tcW w:w="2636" w:type="dxa"/>
          </w:tcPr>
          <w:p w:rsidR="002F477E" w:rsidRDefault="00636848">
            <w:pPr>
              <w:pStyle w:val="TableParagraph"/>
              <w:spacing w:line="247" w:lineRule="auto"/>
              <w:ind w:right="275"/>
              <w:rPr>
                <w:sz w:val="24"/>
              </w:rPr>
            </w:pPr>
            <w:r>
              <w:rPr>
                <w:color w:val="3C3C3B"/>
                <w:sz w:val="24"/>
              </w:rPr>
              <w:t>Pepperoni (30g) Pastrami (30g) Minced meat (150g) Pickled herrings (150g)</w:t>
            </w:r>
          </w:p>
          <w:p w:rsidR="002F477E" w:rsidRDefault="00636848">
            <w:pPr>
              <w:pStyle w:val="TableParagraph"/>
              <w:spacing w:before="3"/>
              <w:rPr>
                <w:sz w:val="24"/>
              </w:rPr>
            </w:pPr>
            <w:r>
              <w:rPr>
                <w:color w:val="3C3C3B"/>
                <w:sz w:val="24"/>
              </w:rPr>
              <w:t>Quorn (100g)</w:t>
            </w:r>
          </w:p>
        </w:tc>
        <w:tc>
          <w:tcPr>
            <w:tcW w:w="2636" w:type="dxa"/>
          </w:tcPr>
          <w:p w:rsidR="002F477E" w:rsidRDefault="00636848">
            <w:pPr>
              <w:pStyle w:val="TableParagraph"/>
              <w:spacing w:line="247" w:lineRule="auto"/>
              <w:ind w:right="302"/>
              <w:rPr>
                <w:sz w:val="24"/>
              </w:rPr>
            </w:pPr>
            <w:r>
              <w:rPr>
                <w:color w:val="3C3C3B"/>
                <w:sz w:val="24"/>
              </w:rPr>
              <w:t xml:space="preserve">All other aged, dried, or fermented meats and fish (for example: chorizo, salami, mortadella, </w:t>
            </w:r>
            <w:proofErr w:type="spellStart"/>
            <w:r>
              <w:rPr>
                <w:color w:val="3C3C3B"/>
                <w:sz w:val="24"/>
              </w:rPr>
              <w:t>surstromming</w:t>
            </w:r>
            <w:proofErr w:type="spellEnd"/>
            <w:r>
              <w:rPr>
                <w:color w:val="3C3C3B"/>
                <w:sz w:val="24"/>
              </w:rPr>
              <w:t>)</w:t>
            </w:r>
          </w:p>
          <w:p w:rsidR="002F477E" w:rsidRDefault="002F477E">
            <w:pPr>
              <w:pStyle w:val="TableParagraph"/>
              <w:spacing w:before="221" w:line="300" w:lineRule="atLeast"/>
              <w:rPr>
                <w:sz w:val="24"/>
              </w:rPr>
            </w:pPr>
          </w:p>
        </w:tc>
      </w:tr>
      <w:tr w:rsidR="00B05C41">
        <w:trPr>
          <w:trHeight w:val="2646"/>
        </w:trPr>
        <w:tc>
          <w:tcPr>
            <w:tcW w:w="2636" w:type="dxa"/>
            <w:shd w:val="clear" w:color="auto" w:fill="CCE3F5"/>
          </w:tcPr>
          <w:p w:rsidR="00B05C41" w:rsidRDefault="00B05C41" w:rsidP="00B05C41">
            <w:pPr>
              <w:pStyle w:val="TableParagraph"/>
              <w:rPr>
                <w:sz w:val="24"/>
              </w:rPr>
            </w:pPr>
            <w:r>
              <w:rPr>
                <w:color w:val="3C3C3B"/>
                <w:sz w:val="24"/>
              </w:rPr>
              <w:t>Fruit and vegetables</w:t>
            </w:r>
          </w:p>
        </w:tc>
        <w:tc>
          <w:tcPr>
            <w:tcW w:w="2636" w:type="dxa"/>
          </w:tcPr>
          <w:p w:rsidR="00B05C41" w:rsidRDefault="00B05C41" w:rsidP="00B05C41">
            <w:pPr>
              <w:pStyle w:val="TableParagraph"/>
              <w:spacing w:before="10" w:line="300" w:lineRule="atLeast"/>
              <w:ind w:right="355"/>
              <w:rPr>
                <w:sz w:val="24"/>
              </w:rPr>
            </w:pPr>
            <w:r>
              <w:rPr>
                <w:color w:val="3C3C3B"/>
                <w:sz w:val="24"/>
              </w:rPr>
              <w:t>All other fresh, frozen or canned fruit, vegetables and legumes not in the foods to avoid column</w:t>
            </w:r>
          </w:p>
        </w:tc>
        <w:tc>
          <w:tcPr>
            <w:tcW w:w="2636" w:type="dxa"/>
          </w:tcPr>
          <w:p w:rsidR="00B05C41" w:rsidRDefault="00B05C41" w:rsidP="00B05C41">
            <w:pPr>
              <w:pStyle w:val="TableParagraph"/>
              <w:spacing w:before="0"/>
              <w:ind w:left="0"/>
              <w:rPr>
                <w:rFonts w:ascii="Times New Roman"/>
                <w:sz w:val="24"/>
              </w:rPr>
            </w:pPr>
          </w:p>
        </w:tc>
        <w:tc>
          <w:tcPr>
            <w:tcW w:w="2636" w:type="dxa"/>
          </w:tcPr>
          <w:p w:rsidR="00B05C41" w:rsidRDefault="00B05C41" w:rsidP="00B05C41">
            <w:pPr>
              <w:pStyle w:val="TableParagraph"/>
              <w:spacing w:line="247" w:lineRule="auto"/>
              <w:rPr>
                <w:sz w:val="24"/>
              </w:rPr>
            </w:pPr>
            <w:r>
              <w:rPr>
                <w:color w:val="3C3C3B"/>
                <w:sz w:val="24"/>
              </w:rPr>
              <w:t>Fermented vegetables such as sauerkraut, banana skins and broad bean pods</w:t>
            </w:r>
          </w:p>
        </w:tc>
      </w:tr>
      <w:tr w:rsidR="00B05C41">
        <w:trPr>
          <w:trHeight w:val="2646"/>
        </w:trPr>
        <w:tc>
          <w:tcPr>
            <w:tcW w:w="2636" w:type="dxa"/>
            <w:shd w:val="clear" w:color="auto" w:fill="CCE3F5"/>
          </w:tcPr>
          <w:p w:rsidR="00B05C41" w:rsidRDefault="00B05C41" w:rsidP="00B05C41">
            <w:pPr>
              <w:pStyle w:val="TableParagraph"/>
              <w:spacing w:line="247" w:lineRule="auto"/>
              <w:ind w:right="795"/>
              <w:rPr>
                <w:sz w:val="24"/>
              </w:rPr>
            </w:pPr>
            <w:r>
              <w:rPr>
                <w:color w:val="3C3C3B"/>
                <w:sz w:val="24"/>
              </w:rPr>
              <w:t>Meat and yeast extracts</w:t>
            </w:r>
          </w:p>
        </w:tc>
        <w:tc>
          <w:tcPr>
            <w:tcW w:w="2636" w:type="dxa"/>
          </w:tcPr>
          <w:p w:rsidR="00B05C41" w:rsidRDefault="00B05C41" w:rsidP="00B05C41">
            <w:pPr>
              <w:pStyle w:val="TableParagraph"/>
              <w:spacing w:line="247" w:lineRule="auto"/>
              <w:ind w:right="546"/>
              <w:jc w:val="both"/>
              <w:rPr>
                <w:sz w:val="24"/>
              </w:rPr>
            </w:pPr>
            <w:r>
              <w:rPr>
                <w:color w:val="3C3C3B"/>
                <w:sz w:val="24"/>
              </w:rPr>
              <w:t xml:space="preserve">Brewer’s yeast and baker’s </w:t>
            </w:r>
            <w:r>
              <w:rPr>
                <w:color w:val="3C3C3B"/>
                <w:spacing w:val="-3"/>
                <w:sz w:val="24"/>
              </w:rPr>
              <w:t>yeast,</w:t>
            </w:r>
          </w:p>
          <w:p w:rsidR="00B05C41" w:rsidRDefault="00B05C41" w:rsidP="00B05C41">
            <w:pPr>
              <w:pStyle w:val="TableParagraph"/>
              <w:spacing w:before="1" w:line="247" w:lineRule="auto"/>
              <w:ind w:right="373"/>
              <w:jc w:val="both"/>
              <w:rPr>
                <w:sz w:val="24"/>
              </w:rPr>
            </w:pPr>
            <w:r>
              <w:rPr>
                <w:color w:val="3C3C3B"/>
                <w:sz w:val="24"/>
              </w:rPr>
              <w:t>gravies, stock, soup powders, bouillon, monosodium</w:t>
            </w:r>
          </w:p>
          <w:p w:rsidR="00B05C41" w:rsidRDefault="00B05C41" w:rsidP="00B05C41">
            <w:pPr>
              <w:pStyle w:val="TableParagraph"/>
              <w:spacing w:before="2" w:line="281" w:lineRule="exact"/>
              <w:jc w:val="both"/>
              <w:rPr>
                <w:sz w:val="24"/>
              </w:rPr>
            </w:pPr>
            <w:r>
              <w:rPr>
                <w:color w:val="3C3C3B"/>
                <w:sz w:val="24"/>
              </w:rPr>
              <w:t>glutamate (MSG)</w:t>
            </w:r>
          </w:p>
        </w:tc>
        <w:tc>
          <w:tcPr>
            <w:tcW w:w="2636" w:type="dxa"/>
          </w:tcPr>
          <w:p w:rsidR="00B05C41" w:rsidRDefault="00B05C41" w:rsidP="00B05C41">
            <w:pPr>
              <w:pStyle w:val="TableParagraph"/>
              <w:spacing w:before="0"/>
              <w:ind w:left="0"/>
              <w:rPr>
                <w:rFonts w:ascii="Times New Roman"/>
                <w:sz w:val="24"/>
              </w:rPr>
            </w:pPr>
          </w:p>
        </w:tc>
        <w:tc>
          <w:tcPr>
            <w:tcW w:w="2636" w:type="dxa"/>
          </w:tcPr>
          <w:p w:rsidR="00B05C41" w:rsidRDefault="00B05C41" w:rsidP="00B05C41">
            <w:pPr>
              <w:pStyle w:val="TableParagraph"/>
              <w:spacing w:line="247" w:lineRule="auto"/>
              <w:ind w:right="101"/>
              <w:rPr>
                <w:sz w:val="24"/>
              </w:rPr>
            </w:pPr>
            <w:r>
              <w:rPr>
                <w:color w:val="3C3C3B"/>
                <w:sz w:val="24"/>
              </w:rPr>
              <w:t>Concentrated yeast extracts, for example: marmite, vegemite</w:t>
            </w:r>
          </w:p>
        </w:tc>
      </w:tr>
      <w:tr w:rsidR="00B05C41">
        <w:trPr>
          <w:trHeight w:val="2646"/>
        </w:trPr>
        <w:tc>
          <w:tcPr>
            <w:tcW w:w="2636" w:type="dxa"/>
            <w:shd w:val="clear" w:color="auto" w:fill="CCE3F5"/>
          </w:tcPr>
          <w:p w:rsidR="00B05C41" w:rsidRDefault="00B05C41" w:rsidP="00B05C41">
            <w:pPr>
              <w:pStyle w:val="TableParagraph"/>
              <w:spacing w:line="247" w:lineRule="auto"/>
              <w:ind w:right="1115"/>
              <w:rPr>
                <w:sz w:val="24"/>
              </w:rPr>
            </w:pPr>
            <w:r>
              <w:rPr>
                <w:color w:val="3C3C3B"/>
                <w:sz w:val="24"/>
              </w:rPr>
              <w:t>Alcohol (in moderation)</w:t>
            </w:r>
          </w:p>
        </w:tc>
        <w:tc>
          <w:tcPr>
            <w:tcW w:w="2636" w:type="dxa"/>
          </w:tcPr>
          <w:p w:rsidR="00B05C41" w:rsidRDefault="00B05C41" w:rsidP="00B05C41">
            <w:pPr>
              <w:pStyle w:val="TableParagraph"/>
              <w:rPr>
                <w:sz w:val="24"/>
              </w:rPr>
            </w:pPr>
            <w:r>
              <w:rPr>
                <w:color w:val="3C3C3B"/>
                <w:sz w:val="24"/>
              </w:rPr>
              <w:t>Wine, cider, spirits</w:t>
            </w:r>
          </w:p>
        </w:tc>
        <w:tc>
          <w:tcPr>
            <w:tcW w:w="2636" w:type="dxa"/>
          </w:tcPr>
          <w:p w:rsidR="00B05C41" w:rsidRDefault="00B05C41" w:rsidP="00B05C41">
            <w:pPr>
              <w:pStyle w:val="TableParagraph"/>
              <w:spacing w:line="247" w:lineRule="auto"/>
              <w:ind w:right="409"/>
              <w:rPr>
                <w:sz w:val="24"/>
              </w:rPr>
            </w:pPr>
            <w:r>
              <w:rPr>
                <w:color w:val="3C3C3B"/>
                <w:sz w:val="24"/>
              </w:rPr>
              <w:t>Non-alcoholic beer and lager (330mls)</w:t>
            </w:r>
          </w:p>
        </w:tc>
        <w:tc>
          <w:tcPr>
            <w:tcW w:w="2636" w:type="dxa"/>
          </w:tcPr>
          <w:p w:rsidR="00B05C41" w:rsidRDefault="00B05C41" w:rsidP="00B05C41">
            <w:pPr>
              <w:pStyle w:val="TableParagraph"/>
              <w:spacing w:line="247" w:lineRule="auto"/>
              <w:ind w:right="48"/>
              <w:rPr>
                <w:sz w:val="24"/>
              </w:rPr>
            </w:pPr>
            <w:r>
              <w:rPr>
                <w:color w:val="3C3C3B"/>
                <w:sz w:val="24"/>
              </w:rPr>
              <w:t>Unpasteurised beer (for example: draught beer)</w:t>
            </w:r>
          </w:p>
          <w:p w:rsidR="00B05C41" w:rsidRDefault="00B05C41" w:rsidP="00B05C41">
            <w:pPr>
              <w:pStyle w:val="TableParagraph"/>
              <w:spacing w:before="219" w:line="300" w:lineRule="atLeast"/>
              <w:ind w:right="475"/>
              <w:rPr>
                <w:sz w:val="24"/>
              </w:rPr>
            </w:pPr>
            <w:r>
              <w:rPr>
                <w:color w:val="3C3C3B"/>
                <w:sz w:val="24"/>
              </w:rPr>
              <w:t>Home-made beers and wines</w:t>
            </w:r>
          </w:p>
        </w:tc>
      </w:tr>
    </w:tbl>
    <w:p w:rsidR="002F477E" w:rsidRDefault="002F477E">
      <w:pPr>
        <w:spacing w:line="300" w:lineRule="atLeast"/>
        <w:rPr>
          <w:sz w:val="24"/>
        </w:rPr>
        <w:sectPr w:rsidR="002F477E">
          <w:headerReference w:type="default" r:id="rId8"/>
          <w:type w:val="continuous"/>
          <w:pgSz w:w="11910" w:h="16840"/>
          <w:pgMar w:top="2220" w:right="540" w:bottom="280" w:left="580" w:header="680" w:footer="720" w:gutter="0"/>
          <w:cols w:space="720"/>
        </w:sectPr>
      </w:pPr>
    </w:p>
    <w:p w:rsidR="002F477E" w:rsidRDefault="002F477E">
      <w:pPr>
        <w:pStyle w:val="BodyText"/>
        <w:spacing w:before="4"/>
        <w:ind w:left="0"/>
        <w:rPr>
          <w:sz w:val="12"/>
        </w:rPr>
      </w:pPr>
    </w:p>
    <w:p w:rsidR="002F477E" w:rsidRDefault="002F477E">
      <w:pPr>
        <w:pStyle w:val="BodyText"/>
        <w:spacing w:before="1"/>
        <w:ind w:left="0"/>
        <w:rPr>
          <w:sz w:val="10"/>
        </w:rPr>
      </w:pPr>
    </w:p>
    <w:p w:rsidR="002F477E" w:rsidRDefault="00636848">
      <w:pPr>
        <w:pStyle w:val="BodyText"/>
        <w:spacing w:before="94" w:line="247" w:lineRule="auto"/>
        <w:ind w:right="254"/>
      </w:pPr>
      <w:r>
        <w:rPr>
          <w:color w:val="3C3C3B"/>
        </w:rPr>
        <w:t xml:space="preserve">These restrictions should remain in place for 2 to 4 weeks after you stop taking the medication. The reversible MAOI </w:t>
      </w:r>
      <w:proofErr w:type="spellStart"/>
      <w:r>
        <w:rPr>
          <w:color w:val="3C3C3B"/>
        </w:rPr>
        <w:t>Moclobemide</w:t>
      </w:r>
      <w:proofErr w:type="spellEnd"/>
      <w:r>
        <w:rPr>
          <w:color w:val="3C3C3B"/>
        </w:rPr>
        <w:t xml:space="preserve"> (</w:t>
      </w:r>
      <w:proofErr w:type="spellStart"/>
      <w:r>
        <w:rPr>
          <w:color w:val="3C3C3B"/>
        </w:rPr>
        <w:t>Manerix</w:t>
      </w:r>
      <w:proofErr w:type="spellEnd"/>
      <w:r>
        <w:rPr>
          <w:color w:val="3C3C3B"/>
        </w:rPr>
        <w:t>) is less likely to cause symptoms and dietary restrictions are not needed.</w:t>
      </w:r>
    </w:p>
    <w:p w:rsidR="002F477E" w:rsidRDefault="00636848">
      <w:pPr>
        <w:pStyle w:val="BodyText"/>
      </w:pPr>
      <w:r>
        <w:rPr>
          <w:color w:val="3C3C3B"/>
        </w:rPr>
        <w:t>Contact your doctor if you develop headaches or other symptoms that worry you.</w:t>
      </w:r>
    </w:p>
    <w:p w:rsidR="002F477E" w:rsidRDefault="00636848">
      <w:pPr>
        <w:pStyle w:val="BodyText"/>
        <w:spacing w:before="237" w:line="247" w:lineRule="auto"/>
        <w:ind w:right="188"/>
      </w:pPr>
      <w:r>
        <w:rPr>
          <w:color w:val="3C3C3B"/>
        </w:rPr>
        <w:t>You should contact your pharmacist or doctor before taking any other form of medication (for example: cough and cold remedies, nasal drops and sprays, diet pills, pain killing injections). Aspirin and Paracetamol are safe to use in the recommended doses.</w:t>
      </w:r>
    </w:p>
    <w:p w:rsidR="002F477E" w:rsidRDefault="00636848">
      <w:pPr>
        <w:pStyle w:val="BodyText"/>
        <w:spacing w:line="247" w:lineRule="auto"/>
        <w:ind w:right="147"/>
        <w:rPr>
          <w:color w:val="3C3C3B"/>
        </w:rPr>
      </w:pPr>
      <w:r>
        <w:rPr>
          <w:color w:val="3C3C3B"/>
        </w:rPr>
        <w:t>Inform your dentist that you are taking MAOIs. Also, inform your anaesthetist well in advance if you are having a planned operation.</w:t>
      </w:r>
    </w:p>
    <w:p w:rsidR="00E671EB" w:rsidRDefault="00E671EB">
      <w:pPr>
        <w:pStyle w:val="BodyText"/>
        <w:spacing w:line="247" w:lineRule="auto"/>
        <w:ind w:right="147"/>
        <w:rPr>
          <w:color w:val="3C3C3B"/>
        </w:rPr>
      </w:pPr>
      <w:r>
        <w:rPr>
          <w:color w:val="3C3C3B"/>
        </w:rPr>
        <w:t>Please refer to the below link for further information:</w:t>
      </w:r>
    </w:p>
    <w:p w:rsidR="00E671EB" w:rsidRDefault="00156A89">
      <w:pPr>
        <w:pStyle w:val="BodyText"/>
        <w:spacing w:line="247" w:lineRule="auto"/>
        <w:ind w:right="147"/>
      </w:pPr>
      <w:hyperlink r:id="rId9" w:history="1">
        <w:r w:rsidR="00E671EB" w:rsidRPr="00540D3F">
          <w:rPr>
            <w:rStyle w:val="Hyperlink"/>
          </w:rPr>
          <w:t>https://www.choiceandmedication.org/cornwall/medication/phenelzine/</w:t>
        </w:r>
      </w:hyperlink>
      <w:r w:rsidR="00E671EB">
        <w:t xml:space="preserve"> </w:t>
      </w:r>
    </w:p>
    <w:sectPr w:rsidR="00E671EB">
      <w:pgSz w:w="11910" w:h="16840"/>
      <w:pgMar w:top="2220" w:right="540" w:bottom="280" w:left="580" w:header="68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4C" w:rsidRDefault="00636848">
      <w:r>
        <w:separator/>
      </w:r>
    </w:p>
  </w:endnote>
  <w:endnote w:type="continuationSeparator" w:id="0">
    <w:p w:rsidR="00232A4C" w:rsidRDefault="0063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4C" w:rsidRDefault="00636848">
      <w:r>
        <w:separator/>
      </w:r>
    </w:p>
  </w:footnote>
  <w:footnote w:type="continuationSeparator" w:id="0">
    <w:p w:rsidR="00232A4C" w:rsidRDefault="0063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7E" w:rsidRDefault="00636848">
    <w:pPr>
      <w:pStyle w:val="BodyText"/>
      <w:spacing w:before="0" w:line="14" w:lineRule="auto"/>
      <w:ind w:left="0"/>
      <w:rPr>
        <w:sz w:val="20"/>
      </w:rPr>
    </w:pPr>
    <w:r>
      <w:rPr>
        <w:noProof/>
        <w:lang w:eastAsia="en-GB"/>
      </w:rPr>
      <w:drawing>
        <wp:anchor distT="0" distB="0" distL="0" distR="0" simplePos="0" relativeHeight="487510016" behindDoc="1" locked="0" layoutInCell="1" allowOverlap="1" wp14:anchorId="571D06FA" wp14:editId="0FA17E37">
          <wp:simplePos x="0" y="0"/>
          <wp:positionH relativeFrom="page">
            <wp:posOffset>4451464</wp:posOffset>
          </wp:positionH>
          <wp:positionV relativeFrom="page">
            <wp:posOffset>432003</wp:posOffset>
          </wp:positionV>
          <wp:extent cx="2676536" cy="9849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6536" cy="9849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B88"/>
    <w:multiLevelType w:val="hybridMultilevel"/>
    <w:tmpl w:val="6B9848F8"/>
    <w:lvl w:ilvl="0" w:tplc="E696A40E">
      <w:numFmt w:val="bullet"/>
      <w:lvlText w:val="•"/>
      <w:lvlJc w:val="left"/>
      <w:pPr>
        <w:ind w:left="460" w:hanging="360"/>
      </w:pPr>
      <w:rPr>
        <w:rFonts w:ascii="Frutiger" w:eastAsia="Frutiger" w:hAnsi="Frutiger" w:cs="Frutiger" w:hint="default"/>
        <w:color w:val="009AD4"/>
        <w:w w:val="100"/>
        <w:sz w:val="24"/>
        <w:szCs w:val="24"/>
        <w:lang w:val="en-GB" w:eastAsia="en-US" w:bidi="ar-SA"/>
      </w:rPr>
    </w:lvl>
    <w:lvl w:ilvl="1" w:tplc="1B3077EA">
      <w:numFmt w:val="bullet"/>
      <w:lvlText w:val="•"/>
      <w:lvlJc w:val="left"/>
      <w:pPr>
        <w:ind w:left="1492" w:hanging="360"/>
      </w:pPr>
      <w:rPr>
        <w:rFonts w:hint="default"/>
        <w:lang w:val="en-GB" w:eastAsia="en-US" w:bidi="ar-SA"/>
      </w:rPr>
    </w:lvl>
    <w:lvl w:ilvl="2" w:tplc="B866C19C">
      <w:numFmt w:val="bullet"/>
      <w:lvlText w:val="•"/>
      <w:lvlJc w:val="left"/>
      <w:pPr>
        <w:ind w:left="2525" w:hanging="360"/>
      </w:pPr>
      <w:rPr>
        <w:rFonts w:hint="default"/>
        <w:lang w:val="en-GB" w:eastAsia="en-US" w:bidi="ar-SA"/>
      </w:rPr>
    </w:lvl>
    <w:lvl w:ilvl="3" w:tplc="28E40AC4">
      <w:numFmt w:val="bullet"/>
      <w:lvlText w:val="•"/>
      <w:lvlJc w:val="left"/>
      <w:pPr>
        <w:ind w:left="3557" w:hanging="360"/>
      </w:pPr>
      <w:rPr>
        <w:rFonts w:hint="default"/>
        <w:lang w:val="en-GB" w:eastAsia="en-US" w:bidi="ar-SA"/>
      </w:rPr>
    </w:lvl>
    <w:lvl w:ilvl="4" w:tplc="5A46BEF0">
      <w:numFmt w:val="bullet"/>
      <w:lvlText w:val="•"/>
      <w:lvlJc w:val="left"/>
      <w:pPr>
        <w:ind w:left="4590" w:hanging="360"/>
      </w:pPr>
      <w:rPr>
        <w:rFonts w:hint="default"/>
        <w:lang w:val="en-GB" w:eastAsia="en-US" w:bidi="ar-SA"/>
      </w:rPr>
    </w:lvl>
    <w:lvl w:ilvl="5" w:tplc="706447EA">
      <w:numFmt w:val="bullet"/>
      <w:lvlText w:val="•"/>
      <w:lvlJc w:val="left"/>
      <w:pPr>
        <w:ind w:left="5622" w:hanging="360"/>
      </w:pPr>
      <w:rPr>
        <w:rFonts w:hint="default"/>
        <w:lang w:val="en-GB" w:eastAsia="en-US" w:bidi="ar-SA"/>
      </w:rPr>
    </w:lvl>
    <w:lvl w:ilvl="6" w:tplc="510EED7C">
      <w:numFmt w:val="bullet"/>
      <w:lvlText w:val="•"/>
      <w:lvlJc w:val="left"/>
      <w:pPr>
        <w:ind w:left="6655" w:hanging="360"/>
      </w:pPr>
      <w:rPr>
        <w:rFonts w:hint="default"/>
        <w:lang w:val="en-GB" w:eastAsia="en-US" w:bidi="ar-SA"/>
      </w:rPr>
    </w:lvl>
    <w:lvl w:ilvl="7" w:tplc="50485EE0">
      <w:numFmt w:val="bullet"/>
      <w:lvlText w:val="•"/>
      <w:lvlJc w:val="left"/>
      <w:pPr>
        <w:ind w:left="7687" w:hanging="360"/>
      </w:pPr>
      <w:rPr>
        <w:rFonts w:hint="default"/>
        <w:lang w:val="en-GB" w:eastAsia="en-US" w:bidi="ar-SA"/>
      </w:rPr>
    </w:lvl>
    <w:lvl w:ilvl="8" w:tplc="5488702C">
      <w:numFmt w:val="bullet"/>
      <w:lvlText w:val="•"/>
      <w:lvlJc w:val="left"/>
      <w:pPr>
        <w:ind w:left="872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7E"/>
    <w:rsid w:val="00156A89"/>
    <w:rsid w:val="00232A4C"/>
    <w:rsid w:val="002F477E"/>
    <w:rsid w:val="00553ECB"/>
    <w:rsid w:val="00636848"/>
    <w:rsid w:val="0075779D"/>
    <w:rsid w:val="00B05C41"/>
    <w:rsid w:val="00B3515C"/>
    <w:rsid w:val="00D56A99"/>
    <w:rsid w:val="00E6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rutiger" w:eastAsia="Frutiger" w:hAnsi="Frutiger" w:cs="Frutige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8"/>
      <w:ind w:left="100"/>
    </w:pPr>
    <w:rPr>
      <w:sz w:val="24"/>
      <w:szCs w:val="24"/>
    </w:rPr>
  </w:style>
  <w:style w:type="paragraph" w:styleId="Title">
    <w:name w:val="Title"/>
    <w:basedOn w:val="Normal"/>
    <w:uiPriority w:val="1"/>
    <w:qFormat/>
    <w:pPr>
      <w:spacing w:before="68"/>
      <w:ind w:left="100" w:right="721"/>
    </w:pPr>
    <w:rPr>
      <w:sz w:val="48"/>
      <w:szCs w:val="48"/>
    </w:rPr>
  </w:style>
  <w:style w:type="paragraph" w:styleId="ListParagraph">
    <w:name w:val="List Paragraph"/>
    <w:basedOn w:val="Normal"/>
    <w:uiPriority w:val="1"/>
    <w:qFormat/>
    <w:pPr>
      <w:spacing w:before="102"/>
      <w:ind w:left="460" w:hanging="361"/>
    </w:pPr>
  </w:style>
  <w:style w:type="paragraph" w:customStyle="1" w:styleId="TableParagraph">
    <w:name w:val="Table Paragraph"/>
    <w:basedOn w:val="Normal"/>
    <w:uiPriority w:val="1"/>
    <w:qFormat/>
    <w:pPr>
      <w:spacing w:before="19"/>
      <w:ind w:left="80"/>
    </w:pPr>
  </w:style>
  <w:style w:type="paragraph" w:customStyle="1" w:styleId="Default">
    <w:name w:val="Default"/>
    <w:rsid w:val="00B05C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E671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rutiger" w:eastAsia="Frutiger" w:hAnsi="Frutiger" w:cs="Frutige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8"/>
      <w:ind w:left="100"/>
    </w:pPr>
    <w:rPr>
      <w:sz w:val="24"/>
      <w:szCs w:val="24"/>
    </w:rPr>
  </w:style>
  <w:style w:type="paragraph" w:styleId="Title">
    <w:name w:val="Title"/>
    <w:basedOn w:val="Normal"/>
    <w:uiPriority w:val="1"/>
    <w:qFormat/>
    <w:pPr>
      <w:spacing w:before="68"/>
      <w:ind w:left="100" w:right="721"/>
    </w:pPr>
    <w:rPr>
      <w:sz w:val="48"/>
      <w:szCs w:val="48"/>
    </w:rPr>
  </w:style>
  <w:style w:type="paragraph" w:styleId="ListParagraph">
    <w:name w:val="List Paragraph"/>
    <w:basedOn w:val="Normal"/>
    <w:uiPriority w:val="1"/>
    <w:qFormat/>
    <w:pPr>
      <w:spacing w:before="102"/>
      <w:ind w:left="460" w:hanging="361"/>
    </w:pPr>
  </w:style>
  <w:style w:type="paragraph" w:customStyle="1" w:styleId="TableParagraph">
    <w:name w:val="Table Paragraph"/>
    <w:basedOn w:val="Normal"/>
    <w:uiPriority w:val="1"/>
    <w:qFormat/>
    <w:pPr>
      <w:spacing w:before="19"/>
      <w:ind w:left="80"/>
    </w:pPr>
  </w:style>
  <w:style w:type="paragraph" w:customStyle="1" w:styleId="Default">
    <w:name w:val="Default"/>
    <w:rsid w:val="00B05C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E671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oiceandmedication.org/cornwall/medication/phenelz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Dietary information for people taking mono amine oxidase inhibitors (MAOIs)</vt:lpstr>
    </vt:vector>
  </TitlesOfParts>
  <Company>Cornwall NHS</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Dietary information for people taking mono amine oxidase inhibitors (MAOIs)</dc:title>
  <dc:creator>Morwenna Pascoe</dc:creator>
  <cp:lastModifiedBy>Morwenna Pascoe</cp:lastModifiedBy>
  <cp:revision>8</cp:revision>
  <dcterms:created xsi:type="dcterms:W3CDTF">2021-02-05T14:27:00Z</dcterms:created>
  <dcterms:modified xsi:type="dcterms:W3CDTF">2021-02-16T15:07:00Z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Adobe InDesign 16.0 (Windows)</vt:lpwstr>
  </property>
  <property fmtid="{D5CDD505-2E9C-101B-9397-08002B2CF9AE}" pid="4" name="LastSaved">
    <vt:filetime>2021-02-05T00:00:00Z</vt:filetime>
  </property>
</Properties>
</file>